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1" w:rsidRPr="00D213A8" w:rsidRDefault="00ED571C" w:rsidP="00EC0A51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6954659"/>
      <w:bookmarkStart w:id="1" w:name="_Toc377026074"/>
      <w:bookmarkStart w:id="2" w:name="_GoBack"/>
      <w:bookmarkEnd w:id="2"/>
      <w:r w:rsidRPr="00D213A8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A1DD8" w:rsidRPr="00D213A8">
        <w:rPr>
          <w:rFonts w:ascii="Times New Roman" w:hAnsi="Times New Roman" w:cs="Times New Roman"/>
          <w:sz w:val="24"/>
          <w:szCs w:val="24"/>
        </w:rPr>
        <w:t>Report</w:t>
      </w:r>
      <w:bookmarkEnd w:id="0"/>
      <w:bookmarkEnd w:id="1"/>
      <w:r w:rsidRPr="00D213A8">
        <w:rPr>
          <w:rFonts w:ascii="Times New Roman" w:hAnsi="Times New Roman" w:cs="Times New Roman"/>
          <w:sz w:val="24"/>
          <w:szCs w:val="24"/>
        </w:rPr>
        <w:t xml:space="preserve"> from Clerk-Treasurer to </w:t>
      </w:r>
      <w:r w:rsidR="00EC0A51" w:rsidRPr="00D213A8">
        <w:rPr>
          <w:rFonts w:ascii="Times New Roman" w:hAnsi="Times New Roman" w:cs="Times New Roman"/>
          <w:sz w:val="24"/>
          <w:szCs w:val="24"/>
        </w:rPr>
        <w:t xml:space="preserve">the </w:t>
      </w:r>
      <w:r w:rsidRPr="00D213A8">
        <w:rPr>
          <w:rFonts w:ascii="Times New Roman" w:hAnsi="Times New Roman" w:cs="Times New Roman"/>
          <w:sz w:val="24"/>
          <w:szCs w:val="24"/>
        </w:rPr>
        <w:t>Redevelopment Commission</w:t>
      </w:r>
    </w:p>
    <w:p w:rsidR="006A1DD8" w:rsidRPr="00D213A8" w:rsidRDefault="00EC0A51" w:rsidP="00EC0A51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213A8">
        <w:rPr>
          <w:rFonts w:ascii="Times New Roman" w:hAnsi="Times New Roman" w:cs="Times New Roman"/>
          <w:sz w:val="24"/>
          <w:szCs w:val="24"/>
        </w:rPr>
        <w:t>for Year 2015</w:t>
      </w:r>
    </w:p>
    <w:p w:rsidR="004721EB" w:rsidRPr="00D213A8" w:rsidRDefault="004721EB" w:rsidP="00E932DD">
      <w:pPr>
        <w:rPr>
          <w:rFonts w:ascii="Times New Roman" w:hAnsi="Times New Roman" w:cs="Times New Roman"/>
          <w:sz w:val="24"/>
          <w:szCs w:val="24"/>
        </w:rPr>
      </w:pPr>
    </w:p>
    <w:p w:rsidR="00F64AD0" w:rsidRPr="00D213A8" w:rsidRDefault="00F64AD0" w:rsidP="00E932DD">
      <w:pPr>
        <w:rPr>
          <w:rFonts w:ascii="Times New Roman" w:hAnsi="Times New Roman" w:cs="Times New Roman"/>
          <w:sz w:val="24"/>
          <w:szCs w:val="24"/>
        </w:rPr>
      </w:pPr>
      <w:r w:rsidRPr="00D213A8">
        <w:rPr>
          <w:rFonts w:ascii="Times New Roman" w:hAnsi="Times New Roman" w:cs="Times New Roman"/>
          <w:sz w:val="24"/>
          <w:szCs w:val="24"/>
        </w:rPr>
        <w:t xml:space="preserve">To the </w:t>
      </w:r>
      <w:r w:rsidR="00B033E7">
        <w:rPr>
          <w:rFonts w:ascii="Times New Roman" w:hAnsi="Times New Roman" w:cs="Times New Roman"/>
          <w:sz w:val="24"/>
          <w:szCs w:val="24"/>
        </w:rPr>
        <w:t>Trafalgar</w:t>
      </w:r>
      <w:r w:rsidR="00ED571C" w:rsidRPr="00D213A8">
        <w:rPr>
          <w:rFonts w:ascii="Times New Roman" w:hAnsi="Times New Roman" w:cs="Times New Roman"/>
          <w:sz w:val="24"/>
          <w:szCs w:val="24"/>
        </w:rPr>
        <w:t xml:space="preserve"> Redevelopment Commission (“RDC”)</w:t>
      </w:r>
      <w:r w:rsidRPr="00D213A8">
        <w:rPr>
          <w:rFonts w:ascii="Times New Roman" w:hAnsi="Times New Roman" w:cs="Times New Roman"/>
          <w:sz w:val="24"/>
          <w:szCs w:val="24"/>
        </w:rPr>
        <w:t>:</w:t>
      </w:r>
    </w:p>
    <w:p w:rsidR="00D43CC3" w:rsidRPr="00D213A8" w:rsidRDefault="004721EB" w:rsidP="00333DB7">
      <w:pPr>
        <w:jc w:val="both"/>
        <w:rPr>
          <w:rFonts w:ascii="Times New Roman" w:hAnsi="Times New Roman" w:cs="Times New Roman"/>
          <w:sz w:val="24"/>
          <w:szCs w:val="24"/>
        </w:rPr>
      </w:pPr>
      <w:r w:rsidRPr="00D213A8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6A1DD8" w:rsidRPr="00D213A8">
        <w:rPr>
          <w:rFonts w:ascii="Times New Roman" w:hAnsi="Times New Roman" w:cs="Times New Roman"/>
          <w:sz w:val="24"/>
          <w:szCs w:val="24"/>
        </w:rPr>
        <w:t xml:space="preserve">Indiana Code </w:t>
      </w:r>
      <w:r w:rsidR="00876D98" w:rsidRPr="00D213A8">
        <w:rPr>
          <w:rFonts w:ascii="Times New Roman" w:hAnsi="Times New Roman" w:cs="Times New Roman"/>
          <w:sz w:val="24"/>
          <w:szCs w:val="24"/>
        </w:rPr>
        <w:t>36-7-14-</w:t>
      </w:r>
      <w:r w:rsidR="00ED571C" w:rsidRPr="00D213A8">
        <w:rPr>
          <w:rFonts w:ascii="Times New Roman" w:hAnsi="Times New Roman" w:cs="Times New Roman"/>
          <w:sz w:val="24"/>
          <w:szCs w:val="24"/>
        </w:rPr>
        <w:t>8(b)</w:t>
      </w:r>
      <w:r w:rsidR="00876D98" w:rsidRPr="00D213A8">
        <w:rPr>
          <w:rFonts w:ascii="Times New Roman" w:hAnsi="Times New Roman" w:cs="Times New Roman"/>
          <w:sz w:val="24"/>
          <w:szCs w:val="24"/>
        </w:rPr>
        <w:t xml:space="preserve">, the </w:t>
      </w:r>
      <w:r w:rsidR="00B033E7">
        <w:rPr>
          <w:rFonts w:ascii="Times New Roman" w:hAnsi="Times New Roman" w:cs="Times New Roman"/>
          <w:sz w:val="24"/>
          <w:szCs w:val="24"/>
        </w:rPr>
        <w:t>Trafalgar</w:t>
      </w:r>
      <w:r w:rsidR="00ED571C" w:rsidRPr="00D213A8">
        <w:rPr>
          <w:rFonts w:ascii="Times New Roman" w:hAnsi="Times New Roman" w:cs="Times New Roman"/>
          <w:sz w:val="24"/>
          <w:szCs w:val="24"/>
        </w:rPr>
        <w:t xml:space="preserve"> Clerk-Treasurer is required to provide the </w:t>
      </w:r>
      <w:r w:rsidR="00876D98" w:rsidRPr="00D213A8">
        <w:rPr>
          <w:rFonts w:ascii="Times New Roman" w:hAnsi="Times New Roman" w:cs="Times New Roman"/>
          <w:sz w:val="24"/>
          <w:szCs w:val="24"/>
        </w:rPr>
        <w:t>RDC</w:t>
      </w:r>
      <w:r w:rsidR="006A1DD8" w:rsidRPr="00D213A8">
        <w:rPr>
          <w:rFonts w:ascii="Times New Roman" w:hAnsi="Times New Roman" w:cs="Times New Roman"/>
          <w:sz w:val="24"/>
          <w:szCs w:val="24"/>
        </w:rPr>
        <w:t xml:space="preserve"> </w:t>
      </w:r>
      <w:r w:rsidR="00ED571C" w:rsidRPr="00D213A8">
        <w:rPr>
          <w:rFonts w:ascii="Times New Roman" w:hAnsi="Times New Roman" w:cs="Times New Roman"/>
          <w:sz w:val="24"/>
          <w:szCs w:val="24"/>
        </w:rPr>
        <w:t xml:space="preserve">an annual financial report by March 31 of each year.  </w:t>
      </w:r>
      <w:r w:rsidR="00EA37BC" w:rsidRPr="00D213A8">
        <w:rPr>
          <w:rFonts w:ascii="Times New Roman" w:hAnsi="Times New Roman" w:cs="Times New Roman"/>
          <w:sz w:val="24"/>
          <w:szCs w:val="24"/>
        </w:rPr>
        <w:t>Consequently, t</w:t>
      </w:r>
      <w:r w:rsidR="00F64AD0" w:rsidRPr="00D213A8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EA37BC" w:rsidRPr="00D213A8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43CC3" w:rsidRPr="00D213A8">
        <w:rPr>
          <w:rFonts w:ascii="Times New Roman" w:hAnsi="Times New Roman" w:cs="Times New Roman"/>
          <w:sz w:val="24"/>
          <w:szCs w:val="24"/>
        </w:rPr>
        <w:t xml:space="preserve">report </w:t>
      </w:r>
      <w:r w:rsidR="00EA37BC" w:rsidRPr="00D213A8">
        <w:rPr>
          <w:rFonts w:ascii="Times New Roman" w:hAnsi="Times New Roman" w:cs="Times New Roman"/>
          <w:sz w:val="24"/>
          <w:szCs w:val="24"/>
        </w:rPr>
        <w:t xml:space="preserve">for the year 2015 is provided for your </w:t>
      </w:r>
      <w:r w:rsidR="00F64AD0" w:rsidRPr="00D213A8">
        <w:rPr>
          <w:rFonts w:ascii="Times New Roman" w:hAnsi="Times New Roman" w:cs="Times New Roman"/>
          <w:sz w:val="24"/>
          <w:szCs w:val="24"/>
        </w:rPr>
        <w:t>review</w:t>
      </w:r>
      <w:r w:rsidR="00D43CC3" w:rsidRPr="00D213A8">
        <w:rPr>
          <w:rFonts w:ascii="Times New Roman" w:hAnsi="Times New Roman" w:cs="Times New Roman"/>
          <w:sz w:val="24"/>
          <w:szCs w:val="24"/>
        </w:rPr>
        <w:t>.</w:t>
      </w:r>
    </w:p>
    <w:p w:rsidR="00C94E8E" w:rsidRPr="00D213A8" w:rsidRDefault="00C94E8E" w:rsidP="00E932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350"/>
        <w:gridCol w:w="2718"/>
      </w:tblGrid>
      <w:tr w:rsidR="00164530" w:rsidRPr="00D213A8" w:rsidTr="00164530">
        <w:tc>
          <w:tcPr>
            <w:tcW w:w="5228" w:type="dxa"/>
          </w:tcPr>
          <w:p w:rsidR="00164530" w:rsidRPr="00D213A8" w:rsidRDefault="00164530" w:rsidP="00C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8">
              <w:rPr>
                <w:rFonts w:ascii="Times New Roman" w:hAnsi="Times New Roman" w:cs="Times New Roman"/>
                <w:sz w:val="24"/>
                <w:szCs w:val="24"/>
              </w:rPr>
              <w:t>TIF Fund Balance as of January 1, 2015</w:t>
            </w:r>
          </w:p>
        </w:tc>
        <w:tc>
          <w:tcPr>
            <w:tcW w:w="2350" w:type="dxa"/>
          </w:tcPr>
          <w:p w:rsidR="00164530" w:rsidRPr="00D213A8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$263,747.46</w:t>
            </w: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E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8">
              <w:rPr>
                <w:rFonts w:ascii="Times New Roman" w:hAnsi="Times New Roman" w:cs="Times New Roman"/>
                <w:sz w:val="24"/>
                <w:szCs w:val="24"/>
              </w:rPr>
              <w:t>TIF Revenues Received in 2015</w:t>
            </w:r>
          </w:p>
        </w:tc>
        <w:tc>
          <w:tcPr>
            <w:tcW w:w="2350" w:type="dxa"/>
          </w:tcPr>
          <w:p w:rsidR="00164530" w:rsidRPr="00D213A8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  75,167.78</w:t>
            </w: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E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8">
              <w:rPr>
                <w:rFonts w:ascii="Times New Roman" w:hAnsi="Times New Roman" w:cs="Times New Roman"/>
                <w:sz w:val="24"/>
                <w:szCs w:val="24"/>
              </w:rPr>
              <w:t>Expenses Paid from TIF Funds in 2015</w:t>
            </w:r>
          </w:p>
        </w:tc>
        <w:tc>
          <w:tcPr>
            <w:tcW w:w="2350" w:type="dxa"/>
          </w:tcPr>
          <w:p w:rsidR="00164530" w:rsidRPr="00D213A8" w:rsidRDefault="00164530" w:rsidP="00471C33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8" w:type="dxa"/>
          </w:tcPr>
          <w:p w:rsidR="00164530" w:rsidRDefault="00164530" w:rsidP="00471C33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164530">
            <w:pPr>
              <w:tabs>
                <w:tab w:val="left" w:pos="360"/>
              </w:tabs>
              <w:ind w:left="990" w:hanging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Annexation Expenses (primarily legal, financing, accounting, and advertising expenses) </w:t>
            </w:r>
          </w:p>
        </w:tc>
        <w:tc>
          <w:tcPr>
            <w:tcW w:w="2350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70,250.00</w:t>
            </w:r>
          </w:p>
        </w:tc>
        <w:tc>
          <w:tcPr>
            <w:tcW w:w="2718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Default="00164530" w:rsidP="00054FF2">
            <w:pPr>
              <w:tabs>
                <w:tab w:val="left" w:pos="36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Project</w:t>
            </w:r>
          </w:p>
        </w:tc>
        <w:tc>
          <w:tcPr>
            <w:tcW w:w="2350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6,020.00</w:t>
            </w:r>
          </w:p>
        </w:tc>
        <w:tc>
          <w:tcPr>
            <w:tcW w:w="2718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Default="00164530" w:rsidP="00054FF2">
            <w:pPr>
              <w:tabs>
                <w:tab w:val="left" w:pos="36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Software</w:t>
            </w:r>
          </w:p>
        </w:tc>
        <w:tc>
          <w:tcPr>
            <w:tcW w:w="2350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5,750.00</w:t>
            </w:r>
          </w:p>
        </w:tc>
        <w:tc>
          <w:tcPr>
            <w:tcW w:w="2718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Default="00164530" w:rsidP="003A22A9">
            <w:pPr>
              <w:tabs>
                <w:tab w:val="left" w:pos="36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for Town Hall</w:t>
            </w:r>
          </w:p>
        </w:tc>
        <w:tc>
          <w:tcPr>
            <w:tcW w:w="2350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 3,750.00</w:t>
            </w:r>
          </w:p>
        </w:tc>
        <w:tc>
          <w:tcPr>
            <w:tcW w:w="2718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Default="00164530" w:rsidP="00054FF2">
            <w:pPr>
              <w:tabs>
                <w:tab w:val="left" w:pos="36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Payments - Bond for New Town Hall</w:t>
            </w:r>
          </w:p>
        </w:tc>
        <w:tc>
          <w:tcPr>
            <w:tcW w:w="2350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25,000.00</w:t>
            </w:r>
          </w:p>
        </w:tc>
        <w:tc>
          <w:tcPr>
            <w:tcW w:w="2718" w:type="dxa"/>
          </w:tcPr>
          <w:p w:rsidR="00164530" w:rsidRDefault="00164530" w:rsidP="00054FF2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C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D213A8">
              <w:rPr>
                <w:rFonts w:ascii="Times New Roman" w:hAnsi="Times New Roman" w:cs="Times New Roman"/>
                <w:sz w:val="24"/>
                <w:szCs w:val="24"/>
              </w:rPr>
              <w:t>Expenses Paid from TIF Funds in 2015</w:t>
            </w:r>
          </w:p>
        </w:tc>
        <w:tc>
          <w:tcPr>
            <w:tcW w:w="2350" w:type="dxa"/>
          </w:tcPr>
          <w:p w:rsidR="00164530" w:rsidRPr="00D213A8" w:rsidRDefault="00164530" w:rsidP="00C443E0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C443E0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$110,770.00</w:t>
            </w:r>
          </w:p>
        </w:tc>
      </w:tr>
      <w:tr w:rsidR="00164530" w:rsidRPr="00D213A8" w:rsidTr="00164530">
        <w:tc>
          <w:tcPr>
            <w:tcW w:w="5228" w:type="dxa"/>
            <w:tcBorders>
              <w:bottom w:val="single" w:sz="4" w:space="0" w:color="auto"/>
            </w:tcBorders>
          </w:tcPr>
          <w:p w:rsidR="00164530" w:rsidRPr="00D213A8" w:rsidRDefault="00164530" w:rsidP="00C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8">
              <w:rPr>
                <w:rFonts w:ascii="Times New Roman" w:hAnsi="Times New Roman" w:cs="Times New Roman"/>
                <w:sz w:val="24"/>
                <w:szCs w:val="24"/>
              </w:rPr>
              <w:t>TIF Fund Balance as of December 31, 2015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164530" w:rsidRPr="00D213A8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64530" w:rsidRDefault="00164530" w:rsidP="007C5449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$228,145.24</w:t>
            </w:r>
          </w:p>
        </w:tc>
      </w:tr>
      <w:tr w:rsidR="00164530" w:rsidRPr="00D213A8" w:rsidTr="00164530">
        <w:tc>
          <w:tcPr>
            <w:tcW w:w="5228" w:type="dxa"/>
            <w:tcBorders>
              <w:left w:val="nil"/>
              <w:right w:val="nil"/>
            </w:tcBorders>
          </w:tcPr>
          <w:p w:rsidR="00164530" w:rsidRPr="00261250" w:rsidRDefault="00164530" w:rsidP="00C9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:rsidR="00164530" w:rsidRDefault="00164530" w:rsidP="000779F1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</w:tcPr>
          <w:p w:rsidR="00164530" w:rsidRDefault="00164530" w:rsidP="000779F1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0">
              <w:rPr>
                <w:rFonts w:ascii="Times New Roman" w:hAnsi="Times New Roman" w:cs="Times New Roman"/>
                <w:sz w:val="24"/>
                <w:szCs w:val="24"/>
              </w:rPr>
              <w:t xml:space="preserve">The amount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1250">
              <w:rPr>
                <w:rFonts w:ascii="Times New Roman" w:hAnsi="Times New Roman" w:cs="Times New Roman"/>
                <w:sz w:val="24"/>
                <w:szCs w:val="24"/>
              </w:rPr>
              <w:t xml:space="preserve"> all outstanding obligations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Bond for New Town Hall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50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$460,000.00</w:t>
            </w: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3A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0">
              <w:rPr>
                <w:rFonts w:ascii="Times New Roman" w:hAnsi="Times New Roman" w:cs="Times New Roman"/>
                <w:sz w:val="24"/>
                <w:szCs w:val="24"/>
              </w:rPr>
              <w:t>The maturity date for all outstanding obligations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Bond for New Town Hall</w:t>
            </w:r>
          </w:p>
        </w:tc>
        <w:tc>
          <w:tcPr>
            <w:tcW w:w="2350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15, 2030</w:t>
            </w:r>
          </w:p>
        </w:tc>
      </w:tr>
      <w:tr w:rsidR="00164530" w:rsidRPr="00D213A8" w:rsidTr="00164530">
        <w:tc>
          <w:tcPr>
            <w:tcW w:w="5228" w:type="dxa"/>
          </w:tcPr>
          <w:p w:rsidR="00164530" w:rsidRPr="00D213A8" w:rsidRDefault="00164530" w:rsidP="00C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0">
              <w:rPr>
                <w:rFonts w:ascii="Times New Roman" w:hAnsi="Times New Roman" w:cs="Times New Roman"/>
                <w:sz w:val="24"/>
                <w:szCs w:val="24"/>
              </w:rPr>
              <w:t xml:space="preserve">The amount paid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2015 </w:t>
            </w:r>
            <w:r w:rsidRPr="00261250">
              <w:rPr>
                <w:rFonts w:ascii="Times New Roman" w:hAnsi="Times New Roman" w:cs="Times New Roman"/>
                <w:sz w:val="24"/>
                <w:szCs w:val="24"/>
              </w:rPr>
              <w:t>on outstanding obligations</w:t>
            </w:r>
          </w:p>
        </w:tc>
        <w:tc>
          <w:tcPr>
            <w:tcW w:w="2350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64530" w:rsidRDefault="00164530" w:rsidP="003A22A9">
            <w:pPr>
              <w:tabs>
                <w:tab w:val="left" w:pos="421"/>
              </w:tabs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25,000.00</w:t>
            </w:r>
          </w:p>
        </w:tc>
      </w:tr>
    </w:tbl>
    <w:p w:rsidR="00261250" w:rsidRDefault="00261250" w:rsidP="00E932DD">
      <w:pPr>
        <w:rPr>
          <w:rFonts w:ascii="Times New Roman" w:hAnsi="Times New Roman" w:cs="Times New Roman"/>
          <w:sz w:val="24"/>
          <w:szCs w:val="24"/>
        </w:rPr>
      </w:pPr>
    </w:p>
    <w:p w:rsidR="00F64AD0" w:rsidRPr="00D213A8" w:rsidRDefault="00F64AD0" w:rsidP="00F64AD0">
      <w:pPr>
        <w:rPr>
          <w:rFonts w:ascii="Times New Roman" w:hAnsi="Times New Roman" w:cs="Times New Roman"/>
          <w:sz w:val="24"/>
          <w:szCs w:val="24"/>
        </w:rPr>
      </w:pPr>
      <w:r w:rsidRPr="00D213A8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EA37BC" w:rsidRPr="00D213A8">
        <w:rPr>
          <w:rFonts w:ascii="Times New Roman" w:hAnsi="Times New Roman" w:cs="Times New Roman"/>
          <w:sz w:val="24"/>
          <w:szCs w:val="24"/>
        </w:rPr>
        <w:t xml:space="preserve">March </w:t>
      </w:r>
      <w:r w:rsidRPr="00D213A8">
        <w:rPr>
          <w:rFonts w:ascii="Times New Roman" w:hAnsi="Times New Roman" w:cs="Times New Roman"/>
          <w:sz w:val="24"/>
          <w:szCs w:val="24"/>
        </w:rPr>
        <w:t>____, 201</w:t>
      </w:r>
      <w:r w:rsidR="00EA37BC" w:rsidRPr="00D213A8">
        <w:rPr>
          <w:rFonts w:ascii="Times New Roman" w:hAnsi="Times New Roman" w:cs="Times New Roman"/>
          <w:sz w:val="24"/>
          <w:szCs w:val="24"/>
        </w:rPr>
        <w:t>6</w:t>
      </w:r>
      <w:r w:rsidRPr="00D213A8">
        <w:rPr>
          <w:rFonts w:ascii="Times New Roman" w:hAnsi="Times New Roman" w:cs="Times New Roman"/>
          <w:sz w:val="24"/>
          <w:szCs w:val="24"/>
        </w:rPr>
        <w:t>,</w:t>
      </w:r>
    </w:p>
    <w:p w:rsidR="00F64AD0" w:rsidRPr="00D213A8" w:rsidRDefault="00F64AD0" w:rsidP="00F64AD0">
      <w:pPr>
        <w:rPr>
          <w:rFonts w:ascii="Times New Roman" w:hAnsi="Times New Roman" w:cs="Times New Roman"/>
          <w:sz w:val="24"/>
          <w:szCs w:val="24"/>
        </w:rPr>
      </w:pPr>
    </w:p>
    <w:p w:rsidR="004721EB" w:rsidRPr="00D213A8" w:rsidRDefault="004721EB" w:rsidP="004721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13A8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4AD0" w:rsidRPr="00D213A8" w:rsidRDefault="00B033E7" w:rsidP="00F6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Moore</w:t>
      </w:r>
      <w:r w:rsidR="004721EB" w:rsidRPr="00D213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Trafalgar</w:t>
      </w:r>
      <w:r w:rsidR="004721EB" w:rsidRPr="00D213A8">
        <w:rPr>
          <w:rFonts w:ascii="Times New Roman" w:hAnsi="Times New Roman" w:cs="Times New Roman"/>
          <w:sz w:val="24"/>
          <w:szCs w:val="24"/>
        </w:rPr>
        <w:t xml:space="preserve"> Clerk-Treasurer</w:t>
      </w:r>
    </w:p>
    <w:sectPr w:rsidR="00F64AD0" w:rsidRPr="00D213A8" w:rsidSect="00C9784F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1A" w:rsidRDefault="004B0A1A" w:rsidP="005F0DC6">
      <w:pPr>
        <w:spacing w:after="0"/>
      </w:pPr>
      <w:r>
        <w:separator/>
      </w:r>
    </w:p>
  </w:endnote>
  <w:endnote w:type="continuationSeparator" w:id="0">
    <w:p w:rsidR="004B0A1A" w:rsidRDefault="004B0A1A" w:rsidP="005F0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5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2A9" w:rsidRDefault="003A2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2A9" w:rsidRPr="00C9784F" w:rsidRDefault="003A22A9" w:rsidP="00C97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9" w:rsidRPr="005F0DC6" w:rsidRDefault="003A22A9" w:rsidP="00C9784F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22D1C" wp14:editId="36E957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IwtgEAAMMDAAAOAAAAZHJzL2Uyb0RvYy54bWysU8GOEzEMvSPxD1HudKYVWq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" strokecolor="#4579b8 [3044]"/>
          </w:pict>
        </mc:Fallback>
      </mc:AlternateContent>
    </w:r>
    <w:r>
      <w:tab/>
    </w:r>
    <w:r w:rsidRPr="005F0DC6">
      <w:rPr>
        <w:b/>
      </w:rPr>
      <w:t xml:space="preserve">Town of </w:t>
    </w:r>
    <w:r>
      <w:rPr>
        <w:b/>
      </w:rPr>
      <w:t>Trafalgar</w:t>
    </w:r>
  </w:p>
  <w:p w:rsidR="003A22A9" w:rsidRDefault="003A22A9" w:rsidP="00C9784F">
    <w:pPr>
      <w:pStyle w:val="Footer"/>
    </w:pPr>
    <w:r>
      <w:tab/>
      <w:t>2770 W. State Road 252, P.O. Box 57, Trafalgar, IN 46181</w:t>
    </w:r>
  </w:p>
  <w:p w:rsidR="003A22A9" w:rsidRDefault="003A22A9">
    <w:pPr>
      <w:pStyle w:val="Footer"/>
    </w:pPr>
    <w:r>
      <w:tab/>
    </w:r>
    <w:r w:rsidRPr="0069595F">
      <w:t>(317) 878-5194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1A" w:rsidRDefault="004B0A1A" w:rsidP="005F0DC6">
      <w:pPr>
        <w:spacing w:after="0"/>
      </w:pPr>
      <w:r>
        <w:separator/>
      </w:r>
    </w:p>
  </w:footnote>
  <w:footnote w:type="continuationSeparator" w:id="0">
    <w:p w:rsidR="004B0A1A" w:rsidRDefault="004B0A1A" w:rsidP="005F0DC6">
      <w:pPr>
        <w:spacing w:after="0"/>
      </w:pPr>
      <w:r>
        <w:continuationSeparator/>
      </w:r>
    </w:p>
  </w:footnote>
  <w:footnote w:id="1">
    <w:p w:rsidR="00164530" w:rsidRDefault="00164530">
      <w:pPr>
        <w:pStyle w:val="FootnoteText"/>
      </w:pPr>
      <w:r>
        <w:rPr>
          <w:rStyle w:val="FootnoteReference"/>
        </w:rPr>
        <w:footnoteRef/>
      </w:r>
      <w:r>
        <w:t xml:space="preserve"> The Bond for the Town Hall is only being paid partially from TIF Funds.</w:t>
      </w:r>
    </w:p>
    <w:p w:rsidR="00164530" w:rsidRDefault="0016453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FE"/>
    <w:multiLevelType w:val="hybridMultilevel"/>
    <w:tmpl w:val="79B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08B8"/>
    <w:multiLevelType w:val="hybridMultilevel"/>
    <w:tmpl w:val="314E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6596"/>
    <w:multiLevelType w:val="hybridMultilevel"/>
    <w:tmpl w:val="CF2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2C9D"/>
    <w:multiLevelType w:val="hybridMultilevel"/>
    <w:tmpl w:val="6674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069E"/>
    <w:multiLevelType w:val="hybridMultilevel"/>
    <w:tmpl w:val="182A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F8C"/>
    <w:multiLevelType w:val="hybridMultilevel"/>
    <w:tmpl w:val="81C0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960D5"/>
    <w:multiLevelType w:val="hybridMultilevel"/>
    <w:tmpl w:val="1E84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102DF"/>
    <w:multiLevelType w:val="hybridMultilevel"/>
    <w:tmpl w:val="C9C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41E6"/>
    <w:multiLevelType w:val="hybridMultilevel"/>
    <w:tmpl w:val="A6B02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D8"/>
    <w:rsid w:val="00007119"/>
    <w:rsid w:val="00011199"/>
    <w:rsid w:val="00014F2E"/>
    <w:rsid w:val="000256B3"/>
    <w:rsid w:val="00036456"/>
    <w:rsid w:val="00054FF2"/>
    <w:rsid w:val="00075EEC"/>
    <w:rsid w:val="000779F1"/>
    <w:rsid w:val="00077DC0"/>
    <w:rsid w:val="000933D5"/>
    <w:rsid w:val="000A20EF"/>
    <w:rsid w:val="000A3E04"/>
    <w:rsid w:val="000D1F41"/>
    <w:rsid w:val="000D6A02"/>
    <w:rsid w:val="000E4B91"/>
    <w:rsid w:val="000F3FA1"/>
    <w:rsid w:val="001061CE"/>
    <w:rsid w:val="00164530"/>
    <w:rsid w:val="001A170D"/>
    <w:rsid w:val="001A4B4D"/>
    <w:rsid w:val="001C367E"/>
    <w:rsid w:val="001C72E4"/>
    <w:rsid w:val="001E6219"/>
    <w:rsid w:val="00202A18"/>
    <w:rsid w:val="00211F4F"/>
    <w:rsid w:val="00213FB8"/>
    <w:rsid w:val="00217E7A"/>
    <w:rsid w:val="002210F8"/>
    <w:rsid w:val="0022610C"/>
    <w:rsid w:val="00261250"/>
    <w:rsid w:val="00263B87"/>
    <w:rsid w:val="00267DAC"/>
    <w:rsid w:val="00281227"/>
    <w:rsid w:val="0029183D"/>
    <w:rsid w:val="0029651B"/>
    <w:rsid w:val="002A7169"/>
    <w:rsid w:val="002B06B4"/>
    <w:rsid w:val="002C708C"/>
    <w:rsid w:val="002D0195"/>
    <w:rsid w:val="002E7184"/>
    <w:rsid w:val="002F1894"/>
    <w:rsid w:val="002F3B3E"/>
    <w:rsid w:val="00326133"/>
    <w:rsid w:val="00333DB7"/>
    <w:rsid w:val="00337CB1"/>
    <w:rsid w:val="00365C52"/>
    <w:rsid w:val="00397D32"/>
    <w:rsid w:val="003A22A9"/>
    <w:rsid w:val="003A460C"/>
    <w:rsid w:val="003E110F"/>
    <w:rsid w:val="00406D92"/>
    <w:rsid w:val="00426460"/>
    <w:rsid w:val="004436E2"/>
    <w:rsid w:val="00471C33"/>
    <w:rsid w:val="004721EB"/>
    <w:rsid w:val="004801E3"/>
    <w:rsid w:val="004839DC"/>
    <w:rsid w:val="00484E89"/>
    <w:rsid w:val="004B0A1A"/>
    <w:rsid w:val="004C063E"/>
    <w:rsid w:val="004F4B5D"/>
    <w:rsid w:val="00537947"/>
    <w:rsid w:val="0055353D"/>
    <w:rsid w:val="00565E35"/>
    <w:rsid w:val="00570D31"/>
    <w:rsid w:val="005C7636"/>
    <w:rsid w:val="005F0DC6"/>
    <w:rsid w:val="00621479"/>
    <w:rsid w:val="00631CBD"/>
    <w:rsid w:val="00635400"/>
    <w:rsid w:val="00661827"/>
    <w:rsid w:val="00661C0A"/>
    <w:rsid w:val="0066228D"/>
    <w:rsid w:val="006623CE"/>
    <w:rsid w:val="00693635"/>
    <w:rsid w:val="0069595F"/>
    <w:rsid w:val="006A1DD8"/>
    <w:rsid w:val="006A583A"/>
    <w:rsid w:val="006B04E2"/>
    <w:rsid w:val="006C0969"/>
    <w:rsid w:val="006D02BB"/>
    <w:rsid w:val="007037E4"/>
    <w:rsid w:val="00707E2E"/>
    <w:rsid w:val="00735FB6"/>
    <w:rsid w:val="00752C02"/>
    <w:rsid w:val="0076587C"/>
    <w:rsid w:val="00766B7F"/>
    <w:rsid w:val="007A13CD"/>
    <w:rsid w:val="007A1C4E"/>
    <w:rsid w:val="007C5410"/>
    <w:rsid w:val="007C5449"/>
    <w:rsid w:val="007D3BE1"/>
    <w:rsid w:val="00800CC6"/>
    <w:rsid w:val="008013F8"/>
    <w:rsid w:val="00833EF0"/>
    <w:rsid w:val="00861583"/>
    <w:rsid w:val="00876D98"/>
    <w:rsid w:val="008A735E"/>
    <w:rsid w:val="008B12F8"/>
    <w:rsid w:val="008B52FF"/>
    <w:rsid w:val="008E1485"/>
    <w:rsid w:val="008F0770"/>
    <w:rsid w:val="009061E3"/>
    <w:rsid w:val="00912C13"/>
    <w:rsid w:val="00916776"/>
    <w:rsid w:val="00931F1B"/>
    <w:rsid w:val="00996646"/>
    <w:rsid w:val="009C332A"/>
    <w:rsid w:val="009C3816"/>
    <w:rsid w:val="009D7506"/>
    <w:rsid w:val="009E7284"/>
    <w:rsid w:val="009F4454"/>
    <w:rsid w:val="009F6EE5"/>
    <w:rsid w:val="00A21A2E"/>
    <w:rsid w:val="00A23FB9"/>
    <w:rsid w:val="00A24243"/>
    <w:rsid w:val="00A627B3"/>
    <w:rsid w:val="00A7109F"/>
    <w:rsid w:val="00A83701"/>
    <w:rsid w:val="00A85120"/>
    <w:rsid w:val="00A91ACC"/>
    <w:rsid w:val="00AB7186"/>
    <w:rsid w:val="00AC74B9"/>
    <w:rsid w:val="00AF700B"/>
    <w:rsid w:val="00B033E7"/>
    <w:rsid w:val="00B1365F"/>
    <w:rsid w:val="00B33568"/>
    <w:rsid w:val="00B66503"/>
    <w:rsid w:val="00B71F32"/>
    <w:rsid w:val="00BA0187"/>
    <w:rsid w:val="00BC036E"/>
    <w:rsid w:val="00BC611B"/>
    <w:rsid w:val="00BE196D"/>
    <w:rsid w:val="00BE63DD"/>
    <w:rsid w:val="00C02EFF"/>
    <w:rsid w:val="00C17692"/>
    <w:rsid w:val="00C443E0"/>
    <w:rsid w:val="00C5672C"/>
    <w:rsid w:val="00C94E8E"/>
    <w:rsid w:val="00C9784F"/>
    <w:rsid w:val="00CF01BD"/>
    <w:rsid w:val="00CF7569"/>
    <w:rsid w:val="00D02F10"/>
    <w:rsid w:val="00D16CD7"/>
    <w:rsid w:val="00D213A8"/>
    <w:rsid w:val="00D43CC3"/>
    <w:rsid w:val="00D60D4A"/>
    <w:rsid w:val="00D944F9"/>
    <w:rsid w:val="00D95E8C"/>
    <w:rsid w:val="00DC1694"/>
    <w:rsid w:val="00E14AAF"/>
    <w:rsid w:val="00E1506F"/>
    <w:rsid w:val="00E5165F"/>
    <w:rsid w:val="00E53634"/>
    <w:rsid w:val="00E620C1"/>
    <w:rsid w:val="00E6578A"/>
    <w:rsid w:val="00E932DD"/>
    <w:rsid w:val="00EA1F4A"/>
    <w:rsid w:val="00EA37BC"/>
    <w:rsid w:val="00EC0A51"/>
    <w:rsid w:val="00EC22AA"/>
    <w:rsid w:val="00ED010D"/>
    <w:rsid w:val="00ED27DC"/>
    <w:rsid w:val="00ED571C"/>
    <w:rsid w:val="00EE4DBC"/>
    <w:rsid w:val="00EF59A7"/>
    <w:rsid w:val="00F018D9"/>
    <w:rsid w:val="00F0512A"/>
    <w:rsid w:val="00F100F7"/>
    <w:rsid w:val="00F211B8"/>
    <w:rsid w:val="00F2578B"/>
    <w:rsid w:val="00F43747"/>
    <w:rsid w:val="00F5042E"/>
    <w:rsid w:val="00F62C3E"/>
    <w:rsid w:val="00F64AD0"/>
    <w:rsid w:val="00FA32AB"/>
    <w:rsid w:val="00FB4467"/>
    <w:rsid w:val="00FB6243"/>
    <w:rsid w:val="00FC35C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C1"/>
    <w:pPr>
      <w:spacing w:after="12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C1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4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C1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16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C1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4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0C1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E6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D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DC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F0DC6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F0DC6"/>
  </w:style>
  <w:style w:type="paragraph" w:styleId="TOCHeading">
    <w:name w:val="TOC Heading"/>
    <w:basedOn w:val="Heading1"/>
    <w:next w:val="Normal"/>
    <w:uiPriority w:val="39"/>
    <w:unhideWhenUsed/>
    <w:qFormat/>
    <w:rsid w:val="001A4B4D"/>
    <w:pPr>
      <w:spacing w:line="276" w:lineRule="auto"/>
      <w:outlineLvl w:val="9"/>
    </w:pPr>
    <w:rPr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39DC"/>
    <w:pPr>
      <w:tabs>
        <w:tab w:val="right" w:pos="4320"/>
        <w:tab w:val="right" w:pos="10070"/>
      </w:tabs>
      <w:spacing w:after="0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4B4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4D"/>
    <w:pPr>
      <w:spacing w:after="100" w:line="276" w:lineRule="auto"/>
      <w:ind w:left="440"/>
    </w:pPr>
    <w:rPr>
      <w:rFonts w:asciiTheme="minorHAnsi" w:eastAsiaTheme="minorEastAsia" w:hAnsiTheme="minorHAnsi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A7169"/>
    <w:rPr>
      <w:rFonts w:asciiTheme="majorHAnsi" w:eastAsiaTheme="majorEastAsia" w:hAnsiTheme="majorHAnsi" w:cstheme="majorBidi"/>
      <w:bCs/>
      <w:i/>
      <w:iCs/>
    </w:rPr>
  </w:style>
  <w:style w:type="table" w:styleId="TableGrid">
    <w:name w:val="Table Grid"/>
    <w:basedOn w:val="TableNormal"/>
    <w:uiPriority w:val="59"/>
    <w:rsid w:val="006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22A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2A9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C1"/>
    <w:pPr>
      <w:spacing w:after="12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C1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4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C1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16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C1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4D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0C1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E6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D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DC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F0DC6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F0DC6"/>
  </w:style>
  <w:style w:type="paragraph" w:styleId="TOCHeading">
    <w:name w:val="TOC Heading"/>
    <w:basedOn w:val="Heading1"/>
    <w:next w:val="Normal"/>
    <w:uiPriority w:val="39"/>
    <w:unhideWhenUsed/>
    <w:qFormat/>
    <w:rsid w:val="001A4B4D"/>
    <w:pPr>
      <w:spacing w:line="276" w:lineRule="auto"/>
      <w:outlineLvl w:val="9"/>
    </w:pPr>
    <w:rPr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39DC"/>
    <w:pPr>
      <w:tabs>
        <w:tab w:val="right" w:pos="4320"/>
        <w:tab w:val="right" w:pos="10070"/>
      </w:tabs>
      <w:spacing w:after="0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4B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4B4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4B4D"/>
    <w:pPr>
      <w:spacing w:after="100" w:line="276" w:lineRule="auto"/>
      <w:ind w:left="440"/>
    </w:pPr>
    <w:rPr>
      <w:rFonts w:asciiTheme="minorHAnsi" w:eastAsiaTheme="minorEastAsia" w:hAnsiTheme="minorHAnsi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A7169"/>
    <w:rPr>
      <w:rFonts w:asciiTheme="majorHAnsi" w:eastAsiaTheme="majorEastAsia" w:hAnsiTheme="majorHAnsi" w:cstheme="majorBidi"/>
      <w:bCs/>
      <w:i/>
      <w:iCs/>
    </w:rPr>
  </w:style>
  <w:style w:type="table" w:styleId="TableGrid">
    <w:name w:val="Table Grid"/>
    <w:basedOn w:val="TableNormal"/>
    <w:uiPriority w:val="59"/>
    <w:rsid w:val="006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22A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2A9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86B2-E014-4F97-9015-17720D4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2016-03-22T23:52:00Z</dcterms:created>
  <dcterms:modified xsi:type="dcterms:W3CDTF">2016-03-22T23:52:00Z</dcterms:modified>
  <dc:language/>
  <cp:version/>
</cp:coreProperties>
</file>